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EE1352">
        <w:rPr>
          <w:rFonts w:ascii="Copperplate Gothic Bold" w:hAnsi="Copperplate Gothic Bold" w:cs="Arial"/>
          <w:iCs/>
          <w:sz w:val="20"/>
        </w:rPr>
        <w:t>68,</w:t>
      </w:r>
      <w:proofErr w:type="gramStart"/>
      <w:r w:rsidR="00EE1352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EE1352">
        <w:rPr>
          <w:rFonts w:ascii="Copperplate Gothic Bold" w:hAnsi="Copperplate Gothic Bold" w:cs="Arial"/>
          <w:iCs/>
          <w:sz w:val="20"/>
        </w:rPr>
        <w:t xml:space="preserve">08 de maio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EE1352">
        <w:rPr>
          <w:rFonts w:ascii="Copperplate Gothic Bold" w:hAnsi="Copperplate Gothic Bold"/>
          <w:bCs/>
          <w:sz w:val="18"/>
        </w:rPr>
        <w:t>54</w:t>
      </w:r>
      <w:r w:rsidR="001C34D0">
        <w:rPr>
          <w:rFonts w:ascii="Copperplate Gothic Bold" w:hAnsi="Copperplate Gothic Bold"/>
          <w:bCs/>
          <w:sz w:val="18"/>
        </w:rPr>
        <w:t>/2015</w:t>
      </w:r>
      <w:proofErr w:type="gramStart"/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EE1352">
        <w:rPr>
          <w:rFonts w:ascii="Century Gothic" w:hAnsi="Century Gothic"/>
          <w:sz w:val="22"/>
          <w:szCs w:val="22"/>
        </w:rPr>
        <w:t>54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54473E">
        <w:rPr>
          <w:rFonts w:ascii="Copperplate Gothic Bold" w:hAnsi="Copperplate Gothic Bold"/>
          <w:sz w:val="22"/>
          <w:szCs w:val="22"/>
        </w:rPr>
        <w:t>1</w:t>
      </w:r>
      <w:r w:rsidR="00EE1352">
        <w:rPr>
          <w:rFonts w:ascii="Copperplate Gothic Bold" w:hAnsi="Copperplate Gothic Bold"/>
          <w:sz w:val="22"/>
          <w:szCs w:val="22"/>
        </w:rPr>
        <w:t>7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4F4209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EE1352">
        <w:rPr>
          <w:rFonts w:ascii="Copperplate Gothic Bold" w:hAnsi="Copperplate Gothic Bold"/>
          <w:sz w:val="22"/>
          <w:szCs w:val="22"/>
        </w:rPr>
        <w:t xml:space="preserve">Airton </w:t>
      </w:r>
      <w:proofErr w:type="spellStart"/>
      <w:r w:rsidR="00EE1352">
        <w:rPr>
          <w:rFonts w:ascii="Copperplate Gothic Bold" w:hAnsi="Copperplate Gothic Bold"/>
          <w:sz w:val="22"/>
          <w:szCs w:val="22"/>
        </w:rPr>
        <w:t>Kerbes</w:t>
      </w:r>
      <w:proofErr w:type="spellEnd"/>
      <w:r w:rsidR="00EE1352">
        <w:rPr>
          <w:rFonts w:ascii="Copperplate Gothic Bold" w:hAnsi="Copperplate Gothic Bold"/>
          <w:sz w:val="22"/>
          <w:szCs w:val="22"/>
        </w:rPr>
        <w:t xml:space="preserve"> – ME,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EE1352">
        <w:rPr>
          <w:rFonts w:ascii="Century Gothic" w:hAnsi="Century Gothic"/>
          <w:sz w:val="22"/>
          <w:szCs w:val="22"/>
        </w:rPr>
        <w:t>5.000,00 (cinco mil reais)</w:t>
      </w:r>
      <w:r w:rsidR="00AC73E6">
        <w:rPr>
          <w:rFonts w:ascii="Century Gothic" w:hAnsi="Century Gothic"/>
          <w:sz w:val="22"/>
          <w:szCs w:val="22"/>
        </w:rPr>
        <w:t>.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>0</w:t>
      </w:r>
      <w:r w:rsidR="00EE1352">
        <w:rPr>
          <w:rFonts w:ascii="Century Gothic" w:hAnsi="Century Gothic" w:cs="Arial"/>
          <w:iCs/>
          <w:sz w:val="22"/>
          <w:szCs w:val="22"/>
        </w:rPr>
        <w:t xml:space="preserve">8 de maio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0C4E1A"/>
    <w:rsid w:val="00125F36"/>
    <w:rsid w:val="001458FB"/>
    <w:rsid w:val="00154017"/>
    <w:rsid w:val="00162D9E"/>
    <w:rsid w:val="001639E5"/>
    <w:rsid w:val="001A2AAC"/>
    <w:rsid w:val="001C34D0"/>
    <w:rsid w:val="001D5EE7"/>
    <w:rsid w:val="001E32F9"/>
    <w:rsid w:val="001E4399"/>
    <w:rsid w:val="00222A94"/>
    <w:rsid w:val="00230088"/>
    <w:rsid w:val="00245A4D"/>
    <w:rsid w:val="00254165"/>
    <w:rsid w:val="00256ED7"/>
    <w:rsid w:val="00274E03"/>
    <w:rsid w:val="002C70DC"/>
    <w:rsid w:val="003059F4"/>
    <w:rsid w:val="003259EC"/>
    <w:rsid w:val="0034184D"/>
    <w:rsid w:val="00344593"/>
    <w:rsid w:val="00350F04"/>
    <w:rsid w:val="00360622"/>
    <w:rsid w:val="00367472"/>
    <w:rsid w:val="0039745F"/>
    <w:rsid w:val="003A0D04"/>
    <w:rsid w:val="003B2163"/>
    <w:rsid w:val="003C794C"/>
    <w:rsid w:val="003D2FCD"/>
    <w:rsid w:val="003F0BFC"/>
    <w:rsid w:val="003F74CF"/>
    <w:rsid w:val="0041100F"/>
    <w:rsid w:val="0042618E"/>
    <w:rsid w:val="004335E4"/>
    <w:rsid w:val="0043415F"/>
    <w:rsid w:val="00442440"/>
    <w:rsid w:val="004431F1"/>
    <w:rsid w:val="004556FC"/>
    <w:rsid w:val="004574FA"/>
    <w:rsid w:val="004749FC"/>
    <w:rsid w:val="004A4E49"/>
    <w:rsid w:val="004D1B3C"/>
    <w:rsid w:val="004D5B16"/>
    <w:rsid w:val="004F4209"/>
    <w:rsid w:val="00504CCF"/>
    <w:rsid w:val="0054473E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C73E6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BD502C"/>
    <w:rsid w:val="00C104DE"/>
    <w:rsid w:val="00C15D36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15BE0"/>
    <w:rsid w:val="00E306A3"/>
    <w:rsid w:val="00E3127B"/>
    <w:rsid w:val="00E3484C"/>
    <w:rsid w:val="00E512A8"/>
    <w:rsid w:val="00E520A3"/>
    <w:rsid w:val="00E81D0A"/>
    <w:rsid w:val="00E93043"/>
    <w:rsid w:val="00EA2620"/>
    <w:rsid w:val="00EB758C"/>
    <w:rsid w:val="00ED4786"/>
    <w:rsid w:val="00EE1352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2015-04-09T17:53:00Z</cp:lastPrinted>
  <dcterms:created xsi:type="dcterms:W3CDTF">2015-05-11T14:01:00Z</dcterms:created>
  <dcterms:modified xsi:type="dcterms:W3CDTF">2015-05-11T14:01:00Z</dcterms:modified>
</cp:coreProperties>
</file>