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8660AD">
        <w:rPr>
          <w:rFonts w:ascii="Copperplate Gothic Bold" w:hAnsi="Copperplate Gothic Bold"/>
          <w:bCs/>
        </w:rPr>
        <w:t>7</w:t>
      </w:r>
      <w:r w:rsidR="001C283C">
        <w:rPr>
          <w:rFonts w:ascii="Copperplate Gothic Bold" w:hAnsi="Copperplate Gothic Bold"/>
          <w:bCs/>
        </w:rPr>
        <w:t>6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9B6EAD">
        <w:rPr>
          <w:rFonts w:ascii="Copperplate Gothic Bold" w:hAnsi="Copperplate Gothic Bold"/>
          <w:bCs/>
        </w:rPr>
        <w:t>1</w:t>
      </w:r>
      <w:r w:rsidR="008660AD">
        <w:rPr>
          <w:rFonts w:ascii="Copperplate Gothic Bold" w:hAnsi="Copperplate Gothic Bold"/>
          <w:bCs/>
        </w:rPr>
        <w:t>4</w:t>
      </w:r>
      <w:r w:rsidR="009B6EAD">
        <w:rPr>
          <w:rFonts w:ascii="Copperplate Gothic Bold" w:hAnsi="Copperplate Gothic Bold"/>
          <w:bCs/>
        </w:rPr>
        <w:t xml:space="preserve">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10</w:t>
      </w:r>
      <w:r w:rsidR="001C283C">
        <w:rPr>
          <w:rFonts w:ascii="Copperplate Gothic Bold" w:hAnsi="Copperplate Gothic Bold"/>
          <w:bCs/>
          <w:sz w:val="18"/>
          <w:szCs w:val="18"/>
        </w:rPr>
        <w:t>4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10</w:t>
      </w:r>
      <w:r w:rsidR="001C283C">
        <w:rPr>
          <w:rFonts w:ascii="Century Gothic" w:hAnsi="Century Gothic"/>
        </w:rPr>
        <w:t>4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A7690B">
        <w:rPr>
          <w:rFonts w:ascii="Copperplate Gothic Bold" w:hAnsi="Copperplate Gothic Bold"/>
        </w:rPr>
        <w:t>4</w:t>
      </w:r>
      <w:r w:rsidR="001C283C">
        <w:rPr>
          <w:rFonts w:ascii="Copperplate Gothic Bold" w:hAnsi="Copperplate Gothic Bold"/>
        </w:rPr>
        <w:t>8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C27AF0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8660AD">
        <w:rPr>
          <w:rFonts w:ascii="Copperplate Gothic Bold" w:hAnsi="Copperplate Gothic Bold"/>
        </w:rPr>
        <w:t>P</w:t>
      </w:r>
      <w:r w:rsidR="001C283C">
        <w:rPr>
          <w:rFonts w:ascii="Copperplate Gothic Bold" w:hAnsi="Copperplate Gothic Bold"/>
        </w:rPr>
        <w:t>eretti</w:t>
      </w:r>
      <w:proofErr w:type="spellEnd"/>
      <w:r w:rsidR="001C283C">
        <w:rPr>
          <w:rFonts w:ascii="Copperplate Gothic Bold" w:hAnsi="Copperplate Gothic Bold"/>
        </w:rPr>
        <w:t xml:space="preserve"> </w:t>
      </w:r>
      <w:proofErr w:type="spellStart"/>
      <w:r w:rsidR="001C283C">
        <w:rPr>
          <w:rFonts w:ascii="Copperplate Gothic Bold" w:hAnsi="Copperplate Gothic Bold"/>
        </w:rPr>
        <w:t>Eletro-Móveis</w:t>
      </w:r>
      <w:proofErr w:type="spellEnd"/>
      <w:r w:rsidR="001C283C">
        <w:rPr>
          <w:rFonts w:ascii="Copperplate Gothic Bold" w:hAnsi="Copperplate Gothic Bold"/>
        </w:rPr>
        <w:t xml:space="preserve"> </w:t>
      </w:r>
      <w:proofErr w:type="spellStart"/>
      <w:r w:rsidR="001C283C">
        <w:rPr>
          <w:rFonts w:ascii="Copperplate Gothic Bold" w:hAnsi="Copperplate Gothic Bold"/>
        </w:rPr>
        <w:t>Ltda-Me</w:t>
      </w:r>
      <w:proofErr w:type="spellEnd"/>
      <w:r w:rsidR="008660AD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1C283C">
        <w:rPr>
          <w:rFonts w:ascii="Century Gothic" w:hAnsi="Century Gothic"/>
        </w:rPr>
        <w:t>1.807,000 (</w:t>
      </w:r>
      <w:proofErr w:type="gramStart"/>
      <w:r w:rsidR="001C283C">
        <w:rPr>
          <w:rFonts w:ascii="Century Gothic" w:hAnsi="Century Gothic"/>
        </w:rPr>
        <w:t>mil, oitocentos e sete</w:t>
      </w:r>
      <w:proofErr w:type="gramEnd"/>
      <w:r w:rsidR="001C283C">
        <w:rPr>
          <w:rFonts w:ascii="Century Gothic" w:hAnsi="Century Gothic"/>
        </w:rPr>
        <w:t xml:space="preserve"> reais)</w:t>
      </w:r>
      <w:r w:rsidR="00C91A2F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9B6EAD">
        <w:rPr>
          <w:rFonts w:ascii="Century Gothic" w:hAnsi="Century Gothic"/>
        </w:rPr>
        <w:t>1</w:t>
      </w:r>
      <w:r w:rsidR="008660AD">
        <w:rPr>
          <w:rFonts w:ascii="Century Gothic" w:hAnsi="Century Gothic"/>
        </w:rPr>
        <w:t>4</w:t>
      </w:r>
      <w:r w:rsidR="009B6EAD">
        <w:rPr>
          <w:rFonts w:ascii="Century Gothic" w:hAnsi="Century Gothic"/>
        </w:rPr>
        <w:t xml:space="preserve"> </w:t>
      </w:r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0398"/>
    <w:rsid w:val="000362EF"/>
    <w:rsid w:val="00043F9F"/>
    <w:rsid w:val="00045F1D"/>
    <w:rsid w:val="00061675"/>
    <w:rsid w:val="00066285"/>
    <w:rsid w:val="00071625"/>
    <w:rsid w:val="00091434"/>
    <w:rsid w:val="000A15C8"/>
    <w:rsid w:val="000C68AE"/>
    <w:rsid w:val="001179F1"/>
    <w:rsid w:val="001320CD"/>
    <w:rsid w:val="00162E26"/>
    <w:rsid w:val="001A1537"/>
    <w:rsid w:val="001C283C"/>
    <w:rsid w:val="001D2D59"/>
    <w:rsid w:val="00211067"/>
    <w:rsid w:val="00280182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660AD"/>
    <w:rsid w:val="0089275B"/>
    <w:rsid w:val="00945A94"/>
    <w:rsid w:val="00956DC5"/>
    <w:rsid w:val="009B6EAD"/>
    <w:rsid w:val="009E1560"/>
    <w:rsid w:val="009F47E1"/>
    <w:rsid w:val="00A30297"/>
    <w:rsid w:val="00A40262"/>
    <w:rsid w:val="00A43ECF"/>
    <w:rsid w:val="00A7690B"/>
    <w:rsid w:val="00AB0F10"/>
    <w:rsid w:val="00AF2F2A"/>
    <w:rsid w:val="00B61A3D"/>
    <w:rsid w:val="00B73A6D"/>
    <w:rsid w:val="00B85B36"/>
    <w:rsid w:val="00BD5152"/>
    <w:rsid w:val="00BE4A29"/>
    <w:rsid w:val="00C2601E"/>
    <w:rsid w:val="00C27AF0"/>
    <w:rsid w:val="00C771CD"/>
    <w:rsid w:val="00C91A2F"/>
    <w:rsid w:val="00CB500B"/>
    <w:rsid w:val="00CE5956"/>
    <w:rsid w:val="00D01888"/>
    <w:rsid w:val="00D07306"/>
    <w:rsid w:val="00D87DE2"/>
    <w:rsid w:val="00D97F77"/>
    <w:rsid w:val="00DC1883"/>
    <w:rsid w:val="00F1076B"/>
    <w:rsid w:val="00F15727"/>
    <w:rsid w:val="00F23C4D"/>
    <w:rsid w:val="00F62A57"/>
    <w:rsid w:val="00F6463F"/>
    <w:rsid w:val="00F96D4A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2015-08-14T11:16:00Z</cp:lastPrinted>
  <dcterms:created xsi:type="dcterms:W3CDTF">2015-08-14T18:43:00Z</dcterms:created>
  <dcterms:modified xsi:type="dcterms:W3CDTF">2015-08-14T18:43:00Z</dcterms:modified>
</cp:coreProperties>
</file>