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3167D7" w:rsidP="006A367D">
      <w:pPr>
        <w:ind w:left="-284"/>
        <w:contextualSpacing/>
        <w:jc w:val="center"/>
        <w:rPr>
          <w:sz w:val="24"/>
          <w:szCs w:val="24"/>
        </w:rPr>
      </w:pPr>
      <w:r>
        <w:rPr>
          <w:sz w:val="24"/>
          <w:szCs w:val="24"/>
        </w:rPr>
        <w:t xml:space="preserve">CONTRATO ADMINISTRATIVO Nº </w:t>
      </w:r>
      <w:r w:rsidR="00982053">
        <w:rPr>
          <w:sz w:val="24"/>
          <w:szCs w:val="24"/>
        </w:rPr>
        <w:t>29</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982053">
        <w:rPr>
          <w:b/>
          <w:sz w:val="24"/>
          <w:szCs w:val="24"/>
        </w:rPr>
        <w:t>VAZ E SILVA</w:t>
      </w:r>
      <w:r w:rsidR="00DC7790" w:rsidRPr="00DC7790">
        <w:rPr>
          <w:b/>
          <w:sz w:val="24"/>
          <w:szCs w:val="24"/>
        </w:rPr>
        <w:t xml:space="preserve"> TRANSPORTES</w:t>
      </w:r>
      <w:r w:rsidR="00982053">
        <w:rPr>
          <w:b/>
          <w:sz w:val="24"/>
          <w:szCs w:val="24"/>
        </w:rPr>
        <w:t xml:space="preserve"> </w:t>
      </w:r>
      <w:r w:rsidR="00DC7790" w:rsidRPr="00DC7790">
        <w:rPr>
          <w:b/>
          <w:sz w:val="24"/>
          <w:szCs w:val="24"/>
        </w:rPr>
        <w:t>LTDA- 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w:t>
      </w:r>
      <w:proofErr w:type="gramEnd"/>
      <w:r w:rsidRPr="00DC7790">
        <w:rPr>
          <w:sz w:val="24"/>
          <w:szCs w:val="24"/>
        </w:rPr>
        <w:t xml:space="preserve"> </w:t>
      </w:r>
      <w:proofErr w:type="gramStart"/>
      <w:r w:rsidRPr="00DC7790">
        <w:rPr>
          <w:sz w:val="24"/>
          <w:szCs w:val="24"/>
        </w:rPr>
        <w:t>simplesmente</w:t>
      </w:r>
      <w:proofErr w:type="gramEnd"/>
      <w:r w:rsidRPr="00DC7790">
        <w:rPr>
          <w:sz w:val="24"/>
          <w:szCs w:val="24"/>
        </w:rPr>
        <w:t xml:space="preserve"> CONTRATANTE, e a empresa </w:t>
      </w:r>
      <w:r w:rsidR="00982053">
        <w:rPr>
          <w:b/>
          <w:sz w:val="24"/>
          <w:szCs w:val="24"/>
        </w:rPr>
        <w:t>Vaz E Silva</w:t>
      </w:r>
      <w:r w:rsidR="00982053" w:rsidRPr="00DC7790">
        <w:rPr>
          <w:b/>
          <w:sz w:val="24"/>
          <w:szCs w:val="24"/>
        </w:rPr>
        <w:t xml:space="preserve"> Transportes</w:t>
      </w:r>
      <w:r w:rsidR="00982053">
        <w:rPr>
          <w:b/>
          <w:sz w:val="24"/>
          <w:szCs w:val="24"/>
        </w:rPr>
        <w:t xml:space="preserve"> </w:t>
      </w:r>
      <w:r w:rsidR="00982053" w:rsidRPr="00DC7790">
        <w:rPr>
          <w:b/>
          <w:sz w:val="24"/>
          <w:szCs w:val="24"/>
        </w:rPr>
        <w:t>LTDA- ME</w:t>
      </w:r>
      <w:r w:rsidRPr="00DC7790">
        <w:rPr>
          <w:sz w:val="24"/>
          <w:szCs w:val="24"/>
        </w:rPr>
        <w:t xml:space="preserve">, inscrita no CNPJ-MF sob nº </w:t>
      </w:r>
      <w:r w:rsidR="00982053">
        <w:rPr>
          <w:sz w:val="24"/>
          <w:szCs w:val="24"/>
        </w:rPr>
        <w:t>80.500.705/0001-07</w:t>
      </w:r>
      <w:r w:rsidRPr="00DC7790">
        <w:rPr>
          <w:sz w:val="24"/>
          <w:szCs w:val="24"/>
        </w:rPr>
        <w:t xml:space="preserve">, com sede na </w:t>
      </w:r>
      <w:r w:rsidR="00982053">
        <w:rPr>
          <w:sz w:val="24"/>
          <w:szCs w:val="24"/>
        </w:rPr>
        <w:t>Rua Pará, 584, Centro, Coronel Freitas</w:t>
      </w:r>
      <w:r w:rsidR="00A32AE7">
        <w:rPr>
          <w:sz w:val="24"/>
          <w:szCs w:val="24"/>
        </w:rPr>
        <w:t>/SC, CEP: 89.</w:t>
      </w:r>
      <w:r w:rsidR="00982053">
        <w:rPr>
          <w:sz w:val="24"/>
          <w:szCs w:val="24"/>
        </w:rPr>
        <w:t>840</w:t>
      </w:r>
      <w:r w:rsidR="00A32AE7">
        <w:rPr>
          <w:sz w:val="24"/>
          <w:szCs w:val="24"/>
        </w:rPr>
        <w:t>-000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r w:rsidR="003167D7">
        <w:rPr>
          <w:sz w:val="24"/>
          <w:szCs w:val="24"/>
        </w:rPr>
        <w:t xml:space="preserve">Irineu </w:t>
      </w:r>
      <w:proofErr w:type="spellStart"/>
      <w:r w:rsidR="003167D7">
        <w:rPr>
          <w:sz w:val="24"/>
          <w:szCs w:val="24"/>
        </w:rPr>
        <w:t>Foppa</w:t>
      </w:r>
      <w:proofErr w:type="spellEnd"/>
      <w:r w:rsidRPr="00DC7790">
        <w:rPr>
          <w:sz w:val="24"/>
          <w:szCs w:val="24"/>
        </w:rPr>
        <w:t>, portador da Cédula de Identidade nº</w:t>
      </w:r>
      <w:r w:rsidR="00A32AE7">
        <w:rPr>
          <w:sz w:val="24"/>
          <w:szCs w:val="24"/>
        </w:rPr>
        <w:t xml:space="preserve"> </w:t>
      </w:r>
      <w:r w:rsidR="003167D7">
        <w:rPr>
          <w:sz w:val="24"/>
          <w:szCs w:val="24"/>
        </w:rPr>
        <w:t>1.699.143</w:t>
      </w:r>
      <w:r w:rsidR="00A32AE7">
        <w:rPr>
          <w:sz w:val="24"/>
          <w:szCs w:val="24"/>
        </w:rPr>
        <w:t xml:space="preserve"> </w:t>
      </w:r>
      <w:r w:rsidRPr="00DC7790">
        <w:rPr>
          <w:sz w:val="24"/>
          <w:szCs w:val="24"/>
        </w:rPr>
        <w:t xml:space="preserve">e inscrito no CPF-MF sob nº </w:t>
      </w:r>
      <w:r w:rsidR="003167D7">
        <w:rPr>
          <w:sz w:val="24"/>
          <w:szCs w:val="24"/>
        </w:rPr>
        <w:t>597.524.409-91</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escolar para o fornecimento do item 1</w:t>
      </w:r>
      <w:r w:rsidR="00982053">
        <w:rPr>
          <w:sz w:val="24"/>
          <w:szCs w:val="24"/>
        </w:rPr>
        <w:t>3</w:t>
      </w:r>
      <w:r w:rsidR="00AC7F3B" w:rsidRPr="00807402">
        <w:rPr>
          <w:sz w:val="24"/>
          <w:szCs w:val="24"/>
        </w:rPr>
        <w:t xml:space="preserve">, o qual corresponde </w:t>
      </w:r>
      <w:proofErr w:type="gramStart"/>
      <w:r w:rsidR="00AC7F3B" w:rsidRPr="00807402">
        <w:rPr>
          <w:sz w:val="24"/>
          <w:szCs w:val="24"/>
        </w:rPr>
        <w:t>a</w:t>
      </w:r>
      <w:proofErr w:type="gramEnd"/>
      <w:r w:rsidR="00AC7F3B" w:rsidRPr="00807402">
        <w:rPr>
          <w:sz w:val="24"/>
          <w:szCs w:val="24"/>
        </w:rPr>
        <w:t xml:space="preserve"> rota 1</w:t>
      </w:r>
      <w:r w:rsidR="00982053">
        <w:rPr>
          <w:sz w:val="24"/>
          <w:szCs w:val="24"/>
        </w:rPr>
        <w:t>6</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982053" w:rsidRPr="00982053" w:rsidRDefault="00982053" w:rsidP="00982053">
      <w:pPr>
        <w:pStyle w:val="PargrafodaLista"/>
        <w:numPr>
          <w:ilvl w:val="0"/>
          <w:numId w:val="2"/>
        </w:numPr>
        <w:jc w:val="both"/>
        <w:rPr>
          <w:sz w:val="24"/>
          <w:szCs w:val="24"/>
        </w:rPr>
      </w:pPr>
      <w:r w:rsidRPr="00982053">
        <w:rPr>
          <w:b/>
          <w:sz w:val="24"/>
          <w:szCs w:val="24"/>
        </w:rPr>
        <w:t>“ROTA 16” BAIRRO FLORESTA II Á CORONEL FREITAS (SOMENTE NO PERÍODO NOTURNO)</w:t>
      </w:r>
      <w:r w:rsidRPr="00982053">
        <w:rPr>
          <w:sz w:val="24"/>
          <w:szCs w:val="24"/>
        </w:rPr>
        <w:t>. Um veículo com capacidade para transportar 09 (nove) alunos. Saída de Coronel Freitas passando pelo bairro Passo da Areia e Bairro Floresta II, retornado a Sede passando pela</w:t>
      </w:r>
      <w:r>
        <w:rPr>
          <w:sz w:val="24"/>
          <w:szCs w:val="24"/>
        </w:rPr>
        <w:t>s</w:t>
      </w:r>
      <w:r w:rsidRPr="00982053">
        <w:rPr>
          <w:sz w:val="24"/>
          <w:szCs w:val="24"/>
        </w:rPr>
        <w:t xml:space="preserve"> famílias: </w:t>
      </w:r>
      <w:proofErr w:type="spellStart"/>
      <w:r w:rsidRPr="00982053">
        <w:rPr>
          <w:sz w:val="24"/>
          <w:szCs w:val="24"/>
        </w:rPr>
        <w:t>Raimundi</w:t>
      </w:r>
      <w:proofErr w:type="spellEnd"/>
      <w:r w:rsidRPr="00982053">
        <w:rPr>
          <w:sz w:val="24"/>
          <w:szCs w:val="24"/>
        </w:rPr>
        <w:t xml:space="preserve">, </w:t>
      </w:r>
      <w:proofErr w:type="spellStart"/>
      <w:r w:rsidRPr="00982053">
        <w:rPr>
          <w:sz w:val="24"/>
          <w:szCs w:val="24"/>
        </w:rPr>
        <w:t>Peretto</w:t>
      </w:r>
      <w:proofErr w:type="spellEnd"/>
      <w:r w:rsidRPr="00982053">
        <w:rPr>
          <w:sz w:val="24"/>
          <w:szCs w:val="24"/>
        </w:rPr>
        <w:t xml:space="preserve">, Ferreira, </w:t>
      </w:r>
      <w:proofErr w:type="spellStart"/>
      <w:r w:rsidRPr="00982053">
        <w:rPr>
          <w:sz w:val="24"/>
          <w:szCs w:val="24"/>
        </w:rPr>
        <w:t>Navarini</w:t>
      </w:r>
      <w:proofErr w:type="spellEnd"/>
      <w:r w:rsidRPr="00982053">
        <w:rPr>
          <w:sz w:val="24"/>
          <w:szCs w:val="24"/>
        </w:rPr>
        <w:t xml:space="preserve">, Freitas, Oliveira, Bueno, Freitas, Narciso, </w:t>
      </w:r>
      <w:proofErr w:type="spellStart"/>
      <w:r w:rsidRPr="00982053">
        <w:rPr>
          <w:sz w:val="24"/>
          <w:szCs w:val="24"/>
        </w:rPr>
        <w:t>Salvatti</w:t>
      </w:r>
      <w:proofErr w:type="spellEnd"/>
      <w:r w:rsidRPr="00982053">
        <w:rPr>
          <w:sz w:val="24"/>
          <w:szCs w:val="24"/>
        </w:rPr>
        <w:t xml:space="preserve"> e Dal Piva. Chegando a escola EEB. Professora Délia Rég</w:t>
      </w:r>
      <w:r>
        <w:rPr>
          <w:sz w:val="24"/>
          <w:szCs w:val="24"/>
        </w:rPr>
        <w:t>is às 19 horas. O retorno será à</w:t>
      </w:r>
      <w:r w:rsidRPr="00982053">
        <w:rPr>
          <w:sz w:val="24"/>
          <w:szCs w:val="24"/>
        </w:rPr>
        <w:t xml:space="preserve">s 22h35min. Os alunos deverão ser recolhidos ao veículo e conduzidos até suas residências. O transporte escolar perfaz um total de 14 km (quatorze </w:t>
      </w:r>
      <w:r>
        <w:rPr>
          <w:sz w:val="24"/>
          <w:szCs w:val="24"/>
        </w:rPr>
        <w:t>quilômetros</w:t>
      </w:r>
      <w:r w:rsidRPr="00982053">
        <w:rPr>
          <w:sz w:val="24"/>
          <w:szCs w:val="24"/>
        </w:rPr>
        <w:t>) diariamente</w:t>
      </w:r>
      <w:r>
        <w:rPr>
          <w:sz w:val="24"/>
          <w:szCs w:val="24"/>
        </w:rPr>
        <w:t>,</w:t>
      </w:r>
      <w:r w:rsidRPr="00982053">
        <w:rPr>
          <w:sz w:val="24"/>
          <w:szCs w:val="24"/>
        </w:rPr>
        <w:t xml:space="preserve"> conforme calendário escolar.</w:t>
      </w:r>
    </w:p>
    <w:p w:rsidR="006A367D" w:rsidRPr="00DC7790" w:rsidRDefault="006A367D" w:rsidP="00807402">
      <w:pPr>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lastRenderedPageBreak/>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4.1. Pelo fornecimento do objeto previsto na Cláusula Primeira, da qual a CONTRATADA se sagrou vencedora a CONTRATANTE pagará à CONTRATADA o valor total de R$ </w:t>
      </w:r>
      <w:r w:rsidR="00807402">
        <w:rPr>
          <w:sz w:val="24"/>
          <w:szCs w:val="24"/>
        </w:rPr>
        <w:t>11.973,64</w:t>
      </w:r>
      <w:r w:rsidR="00CC75CA">
        <w:rPr>
          <w:sz w:val="24"/>
          <w:szCs w:val="24"/>
        </w:rPr>
        <w:t xml:space="preserve"> </w:t>
      </w:r>
      <w:r w:rsidRPr="00DC7790">
        <w:rPr>
          <w:sz w:val="24"/>
          <w:szCs w:val="24"/>
        </w:rPr>
        <w:t>(</w:t>
      </w:r>
      <w:proofErr w:type="gramStart"/>
      <w:r w:rsidR="00CC75CA">
        <w:rPr>
          <w:sz w:val="24"/>
          <w:szCs w:val="24"/>
        </w:rPr>
        <w:t>onze mil, novecentos e setenta e três reais e sessenta e quatro centavos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9.3. As multas previstas nesta cláusula não têm caráter compensatório, porém moratório e, conseqüentemente, o pagamento delas não exime a CONTRATADA da reparação dos </w:t>
      </w:r>
      <w:r w:rsidRPr="00DC7790">
        <w:rPr>
          <w:sz w:val="24"/>
          <w:szCs w:val="24"/>
        </w:rPr>
        <w:lastRenderedPageBreak/>
        <w:t>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233B8A" w:rsidP="006A367D">
      <w:pPr>
        <w:ind w:left="-284"/>
        <w:contextualSpacing/>
        <w:jc w:val="both"/>
        <w:rPr>
          <w:sz w:val="24"/>
          <w:szCs w:val="24"/>
        </w:rPr>
      </w:pPr>
      <w:r>
        <w:rPr>
          <w:sz w:val="24"/>
          <w:szCs w:val="24"/>
        </w:rPr>
        <w:t>Coronel Freitas-SC, 28</w:t>
      </w:r>
      <w:r w:rsidR="006A367D" w:rsidRPr="00DC7790">
        <w:rPr>
          <w:sz w:val="24"/>
          <w:szCs w:val="24"/>
        </w:rPr>
        <w:t xml:space="preserve"> de </w:t>
      </w:r>
      <w:r>
        <w:rPr>
          <w:sz w:val="24"/>
          <w:szCs w:val="24"/>
        </w:rPr>
        <w:t>abril</w:t>
      </w:r>
      <w:r w:rsidR="00DC7790" w:rsidRPr="00DC7790">
        <w:rPr>
          <w:sz w:val="24"/>
          <w:szCs w:val="24"/>
        </w:rPr>
        <w:t xml:space="preserve"> </w:t>
      </w:r>
      <w:proofErr w:type="spellStart"/>
      <w:r w:rsidR="006A367D" w:rsidRPr="00DC7790">
        <w:rPr>
          <w:sz w:val="24"/>
          <w:szCs w:val="24"/>
        </w:rPr>
        <w:t>de</w:t>
      </w:r>
      <w:proofErr w:type="spellEnd"/>
      <w:r w:rsidR="006A367D" w:rsidRPr="00DC7790">
        <w:rPr>
          <w:sz w:val="24"/>
          <w:szCs w:val="24"/>
        </w:rPr>
        <w:t xml:space="preserv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982053" w:rsidRDefault="00982053" w:rsidP="006774D8">
      <w:pPr>
        <w:contextualSpacing/>
        <w:jc w:val="center"/>
        <w:rPr>
          <w:sz w:val="24"/>
          <w:szCs w:val="24"/>
        </w:rPr>
      </w:pPr>
      <w:r>
        <w:rPr>
          <w:b/>
          <w:sz w:val="24"/>
          <w:szCs w:val="24"/>
        </w:rPr>
        <w:t>Vaz E Silva</w:t>
      </w:r>
      <w:r w:rsidRPr="00DC7790">
        <w:rPr>
          <w:b/>
          <w:sz w:val="24"/>
          <w:szCs w:val="24"/>
        </w:rPr>
        <w:t xml:space="preserve"> Transportes</w:t>
      </w:r>
      <w:r>
        <w:rPr>
          <w:b/>
          <w:sz w:val="24"/>
          <w:szCs w:val="24"/>
        </w:rPr>
        <w:t xml:space="preserve"> </w:t>
      </w:r>
      <w:r w:rsidRPr="00DC7790">
        <w:rPr>
          <w:b/>
          <w:sz w:val="24"/>
          <w:szCs w:val="24"/>
        </w:rPr>
        <w:t>LTDA- ME</w:t>
      </w:r>
      <w:r>
        <w:rPr>
          <w:sz w:val="24"/>
          <w:szCs w:val="24"/>
        </w:rPr>
        <w:t xml:space="preserve"> </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B3"/>
    <w:multiLevelType w:val="hybridMultilevel"/>
    <w:tmpl w:val="45BEF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A7283"/>
    <w:rsid w:val="000C0EAE"/>
    <w:rsid w:val="00116283"/>
    <w:rsid w:val="00233B8A"/>
    <w:rsid w:val="002C17FD"/>
    <w:rsid w:val="003167D7"/>
    <w:rsid w:val="006035A9"/>
    <w:rsid w:val="006139C0"/>
    <w:rsid w:val="006774D8"/>
    <w:rsid w:val="006A367D"/>
    <w:rsid w:val="00807402"/>
    <w:rsid w:val="00982053"/>
    <w:rsid w:val="00A32AE7"/>
    <w:rsid w:val="00AC7F3B"/>
    <w:rsid w:val="00B54B2D"/>
    <w:rsid w:val="00CC75CA"/>
    <w:rsid w:val="00CE24F9"/>
    <w:rsid w:val="00DC7790"/>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2512</Words>
  <Characters>13568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2017-05-04T16:46:00Z</dcterms:created>
  <dcterms:modified xsi:type="dcterms:W3CDTF">2017-05-05T17:27:00Z</dcterms:modified>
</cp:coreProperties>
</file>